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emf" ContentType="image/x-e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>
          <w:color w:val="00508F"/>
        </w:rPr>
      </w:pPr>
      <w:r>
        <w:rPr>
          <w:color w:val="00508F"/>
        </w:rPr>
        <w:t>Лечение артериальной гипертензии</w:t>
      </w:r>
    </w:p>
    <w:p>
      <w:pPr>
        <w:pStyle w:val="Style17"/>
        <w:jc w:val="center"/>
        <w:rPr/>
      </w:pPr>
      <w:r>
        <w:rPr/>
        <w:t xml:space="preserve">Консультация врача в начале лечения и каждые 5 дней.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Первичная консультация врача-диетолога.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ЭКГ диагностика перед началом и в процессе лечения.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Ультразвуковое исследование сердца (ЭхоКГ)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Лабораторная диагностика (биохимический анализ крови, общий анализ крови).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Диетическое питание, соответствующее сбалансированному рациону по пищевой и энергетической ценности.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Питье натуральной минеральной воды в бювете.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Терренкур. </w:t>
      </w:r>
    </w:p>
    <w:p>
      <w:pPr>
        <w:pStyle w:val="Style17"/>
        <w:rPr/>
      </w:pPr>
      <w:r>
        <w:rPr/>
        <w:t> </w:t>
      </w:r>
    </w:p>
    <w:p>
      <w:pPr>
        <w:pStyle w:val="Style17"/>
        <w:rPr/>
      </w:pPr>
      <w:r>
        <w:rPr/>
        <w:t>Процедуры.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Классический массаж шейноворотниковой зоны - 6.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Сухая углекислая ванна (Реобокс) – ежедневно.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Жемчужная ванна с желтой скипидарной эмульсией -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Циркулярный душ -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Четырехкамерная гальваническая ванна с бишофитом - 6.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Вращающееся магнитное поле (Магнитотурботрон), общее воздействие –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Низкочастотное переменное магнитное поле на шейноворотниковую область – через день.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Фитотерапия.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Посещения термального зала (комплекс бань и минибассейнов с минеральной водой) – 2 раза.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Ежедневное посещение бассейна. 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/>
      </w:pPr>
      <w:r>
        <w:rPr/>
        <w:t xml:space="preserve">ЛФК.  </w:t>
      </w:r>
    </w:p>
    <w:p>
      <w:pPr>
        <w:pStyle w:val="Style17"/>
        <w:jc w:val="center"/>
        <w:rPr/>
      </w:pPr>
      <w:r>
        <w:rPr>
          <w:rStyle w:val="Style14"/>
          <w:color w:val="FF0000"/>
        </w:rPr>
        <w:t>Программа рассчитана на 12 дней</w:t>
      </w:r>
    </w:p>
    <w:p>
      <w:pPr>
        <w:pStyle w:val="Style17"/>
        <w:jc w:val="center"/>
        <w:rPr/>
      </w:pPr>
      <w:r>
        <w:rPr/>
      </w:r>
    </w:p>
    <w:p>
      <w:pPr>
        <w:pStyle w:val="Style17"/>
        <w:spacing w:before="0" w:after="14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4960" cy="2216150"/>
            <wp:effectExtent l="0" t="0" r="0" b="0"/>
            <wp:wrapSquare wrapText="largest"/>
            <wp:docPr id="1" name="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LibreOffice/5.4.2.2$Linux_X86_64 LibreOffice_project/40m0$Build-2</Application>
  <Pages>1</Pages>
  <Words>142</Words>
  <Characters>946</Characters>
  <CharactersWithSpaces>1073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2018-01-17T15:38:04Z</dcterms:modified>
  <cp:revision>17</cp:revision>
  <dc:subject/>
  <dc:title/>
</cp:coreProperties>
</file>