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>
          <w:rStyle w:val="Style14"/>
          <w:color w:val="00508F"/>
          <w:sz w:val="36"/>
          <w:szCs w:val="36"/>
        </w:rPr>
        <w:t>Лечебно-диагностическая программа по лечению гинекологических заболеваний</w:t>
      </w:r>
    </w:p>
    <w:p>
      <w:pPr>
        <w:pStyle w:val="Style17"/>
        <w:jc w:val="center"/>
        <w:rPr/>
      </w:pPr>
      <w:r>
        <w:rPr>
          <w:rStyle w:val="Style14"/>
          <w:color w:val="00508F"/>
          <w:sz w:val="36"/>
          <w:szCs w:val="36"/>
        </w:rPr>
        <w:t>Показания: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     </w:t>
      </w:r>
      <w:r>
        <w:rPr/>
        <w:t xml:space="preserve">Хронические воспалительные заболевания органов малого таза в период ремиссии.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     </w:t>
      </w:r>
      <w:r>
        <w:rPr/>
        <w:t xml:space="preserve">Эндометриоз.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     </w:t>
      </w:r>
      <w:r>
        <w:rPr/>
        <w:t xml:space="preserve">Реабилитация после гинекологических операций.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     </w:t>
      </w:r>
      <w:r>
        <w:rPr/>
        <w:t xml:space="preserve">Климактерический синдром. </w:t>
      </w:r>
    </w:p>
    <w:p>
      <w:pPr>
        <w:pStyle w:val="Style17"/>
        <w:rPr/>
      </w:pPr>
      <w:r>
        <w:rPr>
          <w:rStyle w:val="Style14"/>
        </w:rPr>
        <w:t>Противопоказания: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     </w:t>
      </w:r>
      <w:r>
        <w:rPr/>
        <w:t xml:space="preserve">Хронические воспалительные заболевания органов малого таза в период обострения.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     </w:t>
      </w:r>
      <w:r>
        <w:rPr/>
        <w:t xml:space="preserve">Дисфункциональные маточные кровотечения.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     </w:t>
      </w:r>
      <w:r>
        <w:rPr/>
        <w:t xml:space="preserve">Доброкачественные кисты и опухоли яичников в настоящее время. </w:t>
      </w:r>
    </w:p>
    <w:p>
      <w:pPr>
        <w:pStyle w:val="Style17"/>
        <w:rPr/>
      </w:pPr>
      <w:r>
        <w:rPr/>
        <w:t>Продолжительность программы лечения не менее 14 дней. Заезд в рабочие дни.</w:t>
      </w:r>
    </w:p>
    <w:p>
      <w:pPr>
        <w:pStyle w:val="Style17"/>
        <w:jc w:val="center"/>
        <w:rPr/>
      </w:pPr>
      <w:r>
        <w:rPr>
          <w:rStyle w:val="Style14"/>
          <w:color w:val="FF0000"/>
        </w:rPr>
        <w:t>Составляющие программы на 14 дней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УЗИ органов малого таза в начале курса лечения (по показаниям).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Консультация врача-гинеколога в начале лечения и каждые 5 дней, осмотр врача гинеколога, кольпоскопия в начале лечения и по мере необходимости.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ЭКГ диагностика перед началом лечения (по показаниям). 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Лабораторная диагностика перед началом лечения (по показаниям). 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Режим питания, соответствующий сбалансированному рациону по пищевой и энергетической ценности.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Питье натуральной минеральной воды в бювете.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Ежедневное посещение бассейна.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Ударно-вакуумная терапия (по показаниям) - 6. </w:t>
      </w:r>
    </w:p>
    <w:p>
      <w:pPr>
        <w:pStyle w:val="Style17"/>
        <w:numPr>
          <w:ilvl w:val="0"/>
          <w:numId w:val="7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Турбомагнитотерапия (по показаниям) - 6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Лечебные ванны (по показаниям) - 6.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Массаж шейно-воротниковой зоны - 6.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Сухая углекислая ванна (по показаниям) - 6. </w:t>
      </w:r>
    </w:p>
    <w:p>
      <w:pPr>
        <w:pStyle w:val="Style17"/>
        <w:numPr>
          <w:ilvl w:val="0"/>
          <w:numId w:val="8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Грязелечение (аппликация или общее обертывание по показаниям) - 6. 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Влагалищные тампоны или свечи (по показаниям) - 6. 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Электропроцедура - 6. </w:t>
      </w:r>
    </w:p>
    <w:p>
      <w:pPr>
        <w:pStyle w:val="Style17"/>
        <w:numPr>
          <w:ilvl w:val="0"/>
          <w:numId w:val="9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>Локальная магнитотерапия - 6.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ЛФК 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Посещение фитнес зала </w:t>
      </w:r>
    </w:p>
    <w:p>
      <w:pPr>
        <w:pStyle w:val="Style17"/>
        <w:numPr>
          <w:ilvl w:val="0"/>
          <w:numId w:val="10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Посещение термального зала (при отсутствии противопоказаний) - 2. </w:t>
      </w:r>
    </w:p>
    <w:p>
      <w:pPr>
        <w:pStyle w:val="Style17"/>
        <w:numPr>
          <w:ilvl w:val="0"/>
          <w:numId w:val="11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Ингаляции с поровым раствором сакской грязи - 8. </w:t>
      </w:r>
    </w:p>
    <w:p>
      <w:pPr>
        <w:pStyle w:val="Style17"/>
        <w:numPr>
          <w:ilvl w:val="0"/>
          <w:numId w:val="11"/>
        </w:numPr>
        <w:tabs>
          <w:tab w:val="left" w:pos="0" w:leader="none"/>
        </w:tabs>
        <w:bidi w:val="0"/>
        <w:spacing w:before="0" w:after="0"/>
        <w:ind w:left="707" w:hanging="283"/>
        <w:rPr/>
      </w:pPr>
      <w:r>
        <w:rPr/>
        <w:t xml:space="preserve">Фитотерапия (фиточай) - 8. </w:t>
      </w:r>
    </w:p>
    <w:p>
      <w:pPr>
        <w:pStyle w:val="Style17"/>
        <w:numPr>
          <w:ilvl w:val="0"/>
          <w:numId w:val="0"/>
        </w:numPr>
        <w:bidi w:val="0"/>
        <w:spacing w:before="0" w:after="0"/>
        <w:ind w:left="707" w:hanging="0"/>
        <w:jc w:val="center"/>
        <w:rPr/>
      </w:pPr>
      <w:r>
        <w:rPr>
          <w:rStyle w:val="Style15"/>
          <w:color w:val="FF0000"/>
        </w:rPr>
        <w:t>Наличие санаторно-курортной карты обязательно.</w:t>
      </w:r>
    </w:p>
    <w:p>
      <w:pPr>
        <w:pStyle w:val="Style17"/>
        <w:bidi w:val="0"/>
        <w:spacing w:before="0" w:after="0"/>
        <w:jc w:val="center"/>
        <w:rPr>
          <w:rStyle w:val="Style15"/>
          <w:color w:val="FF0000"/>
        </w:rPr>
      </w:pPr>
      <w:r>
        <w:rPr/>
      </w:r>
    </w:p>
    <w:p>
      <w:pPr>
        <w:pStyle w:val="Style17"/>
        <w:bidi w:val="0"/>
        <w:spacing w:before="0" w:after="0"/>
        <w:jc w:val="center"/>
        <w:rPr>
          <w:rStyle w:val="Style15"/>
          <w:color w:val="FF0000"/>
        </w:rPr>
      </w:pPr>
      <w:r>
        <w:rPr/>
      </w:r>
    </w:p>
    <w:p>
      <w:pPr>
        <w:pStyle w:val="Style17"/>
        <w:bidi w:val="0"/>
        <w:spacing w:before="0" w:after="0"/>
        <w:jc w:val="center"/>
        <w:rPr>
          <w:rStyle w:val="Style15"/>
          <w:color w:val="FF000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4960" cy="221615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LibreOffice/5.4.2.2$Linux_X86_64 LibreOffice_project/40m0$Build-2</Application>
  <Pages>2</Pages>
  <Words>233</Words>
  <Characters>1475</Characters>
  <CharactersWithSpaces>1709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2018-01-17T14:31:26Z</dcterms:modified>
  <cp:revision>16</cp:revision>
  <dc:subject/>
  <dc:title/>
</cp:coreProperties>
</file>