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color w:val="00508F"/>
          <w:sz w:val="36"/>
          <w:szCs w:val="36"/>
        </w:rPr>
      </w:pPr>
      <w:r>
        <w:rPr>
          <w:color w:val="00508F"/>
          <w:sz w:val="36"/>
          <w:szCs w:val="36"/>
        </w:rPr>
        <w:t>Я стану мамой</w:t>
      </w:r>
    </w:p>
    <w:p>
      <w:pPr>
        <w:pStyle w:val="Style17"/>
        <w:jc w:val="center"/>
        <w:rPr/>
      </w:pPr>
      <w:r>
        <w:rPr>
          <w:rStyle w:val="Style15"/>
        </w:rPr>
        <w:t>Программа оздоровления для женщин в период ожидания ребенка «Я стану мамой»</w:t>
      </w:r>
    </w:p>
    <w:p>
      <w:pPr>
        <w:pStyle w:val="Style17"/>
        <w:jc w:val="center"/>
        <w:rPr/>
      </w:pPr>
      <w:r>
        <w:rPr>
          <w:rStyle w:val="Style15"/>
        </w:rPr>
        <w:t>Количество дней пребывания - от 4 до 21</w:t>
      </w:r>
    </w:p>
    <w:p>
      <w:pPr>
        <w:pStyle w:val="Style17"/>
        <w:jc w:val="center"/>
        <w:rPr/>
      </w:pPr>
      <w:r>
        <w:rPr>
          <w:rStyle w:val="Style15"/>
        </w:rPr>
        <w:t>Реализуется по цене оздоровительной путевки с дополнительной оплатой отдельных процедур по утвержденному перечню</w:t>
      </w:r>
    </w:p>
    <w:p>
      <w:pPr>
        <w:pStyle w:val="Style17"/>
        <w:rPr/>
      </w:pPr>
      <w:r>
        <w:rPr>
          <w:rStyle w:val="Style15"/>
        </w:rPr>
        <w:t>Необходимые медицинские документы: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обменная карта; </w:t>
      </w:r>
    </w:p>
    <w:p>
      <w:pPr>
        <w:pStyle w:val="Style17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разрешение участкового акушера-гинеколога на нахождение в условиях санатория. </w:t>
      </w:r>
    </w:p>
    <w:tbl>
      <w:tblPr>
        <w:tblW w:w="7746" w:type="dxa"/>
        <w:jc w:val="center"/>
        <w:tblInd w:w="0" w:type="dxa"/>
        <w:tblBorders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455"/>
        <w:gridCol w:w="5456"/>
        <w:gridCol w:w="1835"/>
      </w:tblGrid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№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Наименование процедуры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Количество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консультация врача акушера-гинеколога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2 раза в неделю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2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консультация психотерапевта (при необходимости)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3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осмотр врача стоматолога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1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4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массаж шейно-грудного отдела позвоночника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через день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5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музыкоароматерапия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через день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6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оздоровительный травяной чай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7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кислородный коктейль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ежедневно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8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посещение бассейна *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 </w:t>
            </w:r>
          </w:p>
        </w:tc>
      </w:tr>
      <w:tr>
        <w:trPr/>
        <w:tc>
          <w:tcPr>
            <w:tcW w:w="45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9</w:t>
            </w:r>
          </w:p>
        </w:tc>
        <w:tc>
          <w:tcPr>
            <w:tcW w:w="5456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водолечение*</w:t>
            </w:r>
          </w:p>
        </w:tc>
        <w:tc>
          <w:tcPr>
            <w:tcW w:w="1835" w:type="dxa"/>
            <w:tcBorders/>
            <w:shd w:fill="auto" w:val="clear"/>
          </w:tcPr>
          <w:p>
            <w:pPr>
              <w:pStyle w:val="Style22"/>
              <w:rPr/>
            </w:pPr>
            <w:r>
              <w:rPr/>
              <w:t> </w:t>
            </w:r>
          </w:p>
        </w:tc>
      </w:tr>
    </w:tbl>
    <w:p>
      <w:pPr>
        <w:pStyle w:val="Style17"/>
        <w:rPr/>
      </w:pPr>
      <w:r>
        <w:rPr/>
        <w:t>*- с разрешения врача акушера-гинеколога на платной основе</w:t>
      </w:r>
    </w:p>
    <w:p>
      <w:pPr>
        <w:pStyle w:val="Style17"/>
        <w:rPr/>
      </w:pPr>
      <w:r>
        <w:rPr/>
        <w:t>В программу включено: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климатотерапия;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терренкур;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диетотерапия; </w:t>
      </w:r>
    </w:p>
    <w:p>
      <w:pPr>
        <w:pStyle w:val="Style17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питьевой приём минеральной воды. 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6"/>
    <w:next w:val="Style17"/>
    <w:qFormat/>
    <w:pPr>
      <w:spacing w:before="240" w:after="120"/>
      <w:outlineLvl w:val="0"/>
    </w:pPr>
    <w:rPr>
      <w:rFonts w:ascii="Liberation Serif" w:hAnsi="Liberation Serif" w:eastAsia="Noto Sans CJK SC Regular" w:cs="Lohit Devanagari"/>
      <w:b/>
      <w:bCs/>
      <w:sz w:val="48"/>
      <w:szCs w:val="48"/>
    </w:rPr>
  </w:style>
  <w:style w:type="paragraph" w:styleId="4">
    <w:name w:val="Heading 4"/>
    <w:basedOn w:val="Style16"/>
    <w:next w:val="Style17"/>
    <w:qFormat/>
    <w:pPr>
      <w:spacing w:before="120" w:after="120"/>
      <w:outlineLvl w:val="3"/>
    </w:pPr>
    <w:rPr>
      <w:rFonts w:ascii="Liberation Serif" w:hAnsi="Liberation Serif" w:eastAsia="Noto Sans CJK SC Regular" w:cs="Lohit Devanagari"/>
      <w:b/>
      <w:bCs/>
      <w:sz w:val="24"/>
      <w:szCs w:val="24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Style15">
    <w:name w:val="Выделение жирным"/>
    <w:qFormat/>
    <w:rPr>
      <w:b/>
      <w:b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Горизонтальная линия"/>
    <w:basedOn w:val="Normal"/>
    <w:next w:val="Style17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LibreOffice/5.4.2.2$Linux_X86_64 LibreOffice_project/40m0$Build-2</Application>
  <Pages>1</Pages>
  <Words>121</Words>
  <Characters>790</Characters>
  <CharactersWithSpaces>872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2018-01-17T12:24:13Z</dcterms:created>
  <dc:creator/>
  <dc:description/>
  <dc:language>ru-RU</dc:language>
  <cp:lastModifiedBy/>
  <dcterms:modified xsi:type="dcterms:W3CDTF">2018-01-17T13:28:56Z</dcterms:modified>
  <cp:revision>12</cp:revision>
  <dc:subject/>
  <dc:title/>
</cp:coreProperties>
</file>