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rFonts w:ascii="Calibri;sans-serif" w:hAnsi="Calibri;sans-serif"/>
          <w:b/>
          <w:sz w:val="24"/>
        </w:rPr>
      </w:pPr>
      <w:r>
        <w:rPr>
          <w:rFonts w:ascii="Calibri;sans-serif" w:hAnsi="Calibri;sans-serif"/>
          <w:b/>
          <w:sz w:val="24"/>
        </w:rPr>
        <w:t xml:space="preserve">Перечень лечебно-оздоровительных процедур, входящих в стоимость путевки </w:t>
      </w:r>
    </w:p>
    <w:tbl>
      <w:tblPr>
        <w:tblW w:w="9210" w:type="dxa"/>
        <w:jc w:val="left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28" w:type="dxa"/>
          <w:left w:w="18" w:type="dxa"/>
          <w:bottom w:w="28" w:type="dxa"/>
          <w:right w:w="28" w:type="dxa"/>
        </w:tblCellMar>
      </w:tblPr>
      <w:tblGrid>
        <w:gridCol w:w="4203"/>
        <w:gridCol w:w="1183"/>
        <w:gridCol w:w="1195"/>
        <w:gridCol w:w="925"/>
        <w:gridCol w:w="701"/>
        <w:gridCol w:w="1003"/>
      </w:tblGrid>
      <w:tr>
        <w:trPr/>
        <w:tc>
          <w:tcPr>
            <w:tcW w:w="420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Наименование процедуры, вида лечения, услуг</w:t>
            </w:r>
          </w:p>
        </w:tc>
        <w:tc>
          <w:tcPr>
            <w:tcW w:w="5007" w:type="dxa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Продолжительность курса лечения и количество предоставляемых процедур</w:t>
            </w:r>
          </w:p>
        </w:tc>
      </w:tr>
      <w:tr>
        <w:trPr/>
        <w:tc>
          <w:tcPr>
            <w:tcW w:w="4203" w:type="dxa"/>
            <w:vMerge w:val="continue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left w:w="18" w:type="dxa"/>
            </w:tcMar>
            <w:vAlign w:val="center"/>
          </w:tcPr>
          <w:p>
            <w:pPr>
              <w:pStyle w:val="Style19"/>
              <w:rPr>
                <w:sz w:val="4"/>
                <w:szCs w:val="4"/>
              </w:rPr>
            </w:pPr>
            <w:r>
              <w:rPr>
                <w:sz w:val="4"/>
                <w:szCs w:val="4"/>
              </w:rPr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 дней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13-14 дней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92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Осмотр врача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283"/>
              <w:ind w:left="0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Лечащий врач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2-3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283"/>
              <w:ind w:left="0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Осмотр узких специалистов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показаниям, с учетом профиля санатория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Врач-стоматолог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показаниям. Лечение острой зубной боли</w:t>
            </w:r>
          </w:p>
        </w:tc>
      </w:tr>
      <w:tr>
        <w:trPr/>
        <w:tc>
          <w:tcPr>
            <w:tcW w:w="92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>Диагностические услуги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Функциональные методы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С учетом наличия диагностического оборудования, по показаниям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Лабораторные методы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283"/>
              <w:ind w:left="0" w:right="0" w:hanging="0"/>
              <w:rPr>
                <w:sz w:val="18"/>
              </w:rPr>
            </w:pPr>
            <w:r>
              <w:rPr>
                <w:sz w:val="18"/>
              </w:rPr>
              <w:t>С учетом наличия лабораторного оборудования, по показаниям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283"/>
              <w:ind w:left="0" w:right="0" w:hanging="0"/>
              <w:rPr/>
            </w:pPr>
            <w:r>
              <w:rPr/>
              <w:t> 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rPr/>
            </w:pPr>
            <w:r>
              <w:rPr/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Рентгенологические методы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С учетом наличия диагностического оборудования, по показаниям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Гастроэнтерологические методы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С учетом наличия диагностического оборудования, по показаниям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Офтальмологические, оториноларингологические методы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sz w:val="18"/>
              </w:rPr>
            </w:pPr>
            <w:r>
              <w:rPr>
                <w:sz w:val="18"/>
              </w:rPr>
              <w:t>С учетом наличия диагностического оборудования, по показаниям</w:t>
            </w:r>
          </w:p>
        </w:tc>
      </w:tr>
      <w:tr>
        <w:trPr/>
        <w:tc>
          <w:tcPr>
            <w:tcW w:w="9210" w:type="dxa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b/>
                <w:i/>
                <w:color w:val="000000"/>
                <w:sz w:val="18"/>
              </w:rPr>
            </w:pPr>
            <w:r>
              <w:rPr>
                <w:b/>
                <w:i/>
                <w:color w:val="000000"/>
                <w:sz w:val="18"/>
              </w:rPr>
              <w:t xml:space="preserve">Лечебно-реабилитационные услуги </w:t>
            </w:r>
            <w:r>
              <w:rPr>
                <w:b/>
                <w:i/>
                <w:color w:val="000000"/>
                <w:sz w:val="18"/>
                <w:u w:val="single"/>
              </w:rPr>
              <w:t>(по показаниям)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Лечебная физкультура – от 1 до 3 видов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12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13-14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Лечебный массаж – 1 из видов (механомассаж, гидромассаж, ручной массаж - 1 единица зональный)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8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10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Бальнеолечение – по1 из видов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8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10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Электросветолечение – 1-2 вида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8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10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Ингаляции – 1 из видов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8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10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Психотерапия – 1 из видов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8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до 10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Питьевое лечение минеральной водой</w:t>
            </w:r>
          </w:p>
        </w:tc>
        <w:tc>
          <w:tcPr>
            <w:tcW w:w="118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24-33</w:t>
            </w:r>
          </w:p>
        </w:tc>
        <w:tc>
          <w:tcPr>
            <w:tcW w:w="119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30-36</w:t>
            </w:r>
          </w:p>
        </w:tc>
        <w:tc>
          <w:tcPr>
            <w:tcW w:w="925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701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003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Диетотерапия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По показаниям. Номер диеты в течение всего курса лечения</w:t>
            </w:r>
          </w:p>
        </w:tc>
      </w:tr>
      <w:tr>
        <w:trPr/>
        <w:tc>
          <w:tcPr>
            <w:tcW w:w="42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18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Медикаментозная терапия</w:t>
            </w:r>
          </w:p>
        </w:tc>
        <w:tc>
          <w:tcPr>
            <w:tcW w:w="5007" w:type="dxa"/>
            <w:gridSpan w:val="5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tcMar>
              <w:top w:w="0" w:type="dxa"/>
              <w:left w:w="0" w:type="dxa"/>
            </w:tcMar>
            <w:vAlign w:val="center"/>
          </w:tcPr>
          <w:p>
            <w:pPr>
              <w:pStyle w:val="Style19"/>
              <w:spacing w:before="0" w:after="0"/>
              <w:ind w:left="192" w:right="0" w:hanging="0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По показаниям. В соответствии с действующими нормативными актами Министерства здравоохранения Республики Беларусь </w:t>
            </w:r>
          </w:p>
        </w:tc>
      </w:tr>
    </w:tbl>
    <w:p>
      <w:pPr>
        <w:pStyle w:val="Style15"/>
        <w:ind w:left="0" w:right="0" w:firstLine="708"/>
        <w:jc w:val="both"/>
        <w:rPr>
          <w:sz w:val="24"/>
        </w:rPr>
      </w:pPr>
      <w:r>
        <w:rPr>
          <w:sz w:val="24"/>
        </w:rPr>
        <w:t>Примечание: лечебно-реабилитационные процедуры назначаются лечащим врачом по основному заболеванию.</w:t>
      </w:r>
    </w:p>
    <w:p>
      <w:pPr>
        <w:pStyle w:val="Style15"/>
        <w:jc w:val="both"/>
        <w:rPr/>
      </w:pPr>
      <w:r>
        <w:rPr>
          <w:sz w:val="24"/>
        </w:rPr>
        <w:tab/>
        <w:t>При наличии сопутствующих заболеваний по желанию пациента и при отсутствии у него противопоказаний, возможно назначение лечебно-реабилитационных процедур сверх количества, предусмотренного путевкой, на платной основе.</w:t>
      </w:r>
    </w:p>
    <w:p>
      <w:pPr>
        <w:pStyle w:val="Style15"/>
        <w:ind w:left="0" w:right="0" w:firstLine="708"/>
        <w:jc w:val="both"/>
        <w:rPr>
          <w:sz w:val="24"/>
        </w:rPr>
      </w:pPr>
      <w:r>
        <w:rPr>
          <w:sz w:val="24"/>
        </w:rPr>
        <w:t>При увеличении количества дней пребывания в санатории количество процедур может быть увеличено с учетом их совместимости в объеме полного курса лечения.</w:t>
      </w:r>
    </w:p>
    <w:p>
      <w:pPr>
        <w:pStyle w:val="Style15"/>
        <w:ind w:left="0" w:right="0" w:firstLine="708"/>
        <w:jc w:val="both"/>
        <w:rPr>
          <w:sz w:val="24"/>
        </w:rPr>
      </w:pPr>
      <w:r>
        <w:rPr>
          <w:sz w:val="24"/>
        </w:rPr>
        <w:t>Другие виды лечения или диагностические исследования, консультации врачей-специалистов, а также медикаментозное лечение проводится за дополнительную плату.</w:t>
      </w:r>
    </w:p>
    <w:p>
      <w:pPr>
        <w:pStyle w:val="Style15"/>
        <w:jc w:val="both"/>
        <w:rPr/>
      </w:pPr>
      <w:r>
        <w:rPr>
          <w:sz w:val="24"/>
        </w:rPr>
        <w:tab/>
        <w:t>Лечебные процедуры назначаются индивидуально каждому пациенту, исходя из имеющихся на момент осмотра показаний и противопоказаний. Лечащий врач имеет право вносить изменения в программу лечения, при необходимости заменяя процедуры на равнозначные, сохраняя план лечения. Компенсации в таких случаях не предусмотрены.</w:t>
      </w:r>
    </w:p>
    <w:p>
      <w:pPr>
        <w:pStyle w:val="Style15"/>
        <w:spacing w:lineRule="auto" w:line="276"/>
        <w:jc w:val="both"/>
        <w:rPr/>
      </w:pPr>
      <w:r>
        <w:rPr>
          <w:rStyle w:val="Style13"/>
          <w:sz w:val="27"/>
        </w:rPr>
        <w:t>Пациентам, прибывшим по оздоровительной путёвке и желающим получать процедуры, их назначение производится по остаточному принципу.</w:t>
      </w:r>
    </w:p>
    <w:p>
      <w:pPr>
        <w:pStyle w:val="Style15"/>
        <w:jc w:val="both"/>
        <w:rPr/>
      </w:pPr>
      <w:r>
        <w:rPr>
          <w:sz w:val="24"/>
        </w:rPr>
        <w:t>При поступлении в санаторий Клиенты должны</w:t>
      </w:r>
      <w:r>
        <w:rPr/>
        <w:t> </w:t>
      </w:r>
      <w:r>
        <w:rPr>
          <w:sz w:val="24"/>
        </w:rPr>
        <w:t>при себе иметь  паспорт, санаторно-курортную карту (выписку из медицинских документов) давностью не более одного месяца при приобретении санаторно-курортной путевки или справку об отсутствии контакта с инфекционными больными при приобретении оздоровительной путевки. При отсутствии санаторно-курортной карты Клиент проходит медицинское обследование в санатории за дополнительную плату (рентгенографию органов грудной клетки, неинвазивный анализ крови, электрокардиограмму, для женщин - осмотр гинеколога).</w:t>
      </w:r>
    </w:p>
    <w:p>
      <w:pPr>
        <w:pStyle w:val="Style15"/>
        <w:ind w:left="0" w:right="0" w:firstLine="708"/>
        <w:jc w:val="both"/>
        <w:rPr/>
      </w:pPr>
      <w:r>
        <w:rPr>
          <w:rStyle w:val="Style13"/>
          <w:sz w:val="24"/>
        </w:rPr>
        <w:t>За неиспользованные по вине Клиента процедуры, входящие в стоимость путевки, возврат денег не производится.</w:t>
      </w:r>
    </w:p>
    <w:p>
      <w:pPr>
        <w:pStyle w:val="Style15"/>
        <w:ind w:left="0" w:right="0" w:firstLine="708"/>
        <w:jc w:val="both"/>
        <w:rPr>
          <w:sz w:val="24"/>
        </w:rPr>
      </w:pPr>
      <w:r>
        <w:rPr>
          <w:sz w:val="24"/>
        </w:rPr>
        <w:t>Возврат денег за неиспользованные дни путевки производится только в случае досрочного отъезда Клиента по уважительной причине: вызов на работу, смерть родственников (при наличии подтверждающего документа – телеграмма, копия свидетельства о смерти), медицинские противопоказания (заключение лечащего врача) или госпитализация пациента. В иных случаях возврат денег производится только за питание со дня, следующего за днем составления меню-раскладки.</w:t>
      </w:r>
    </w:p>
    <w:p>
      <w:pPr>
        <w:pStyle w:val="Style15"/>
        <w:spacing w:before="0" w:after="14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altName w:val="sans-serif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 w:val="24"/>
        <w:szCs w:val="24"/>
        <w:lang w:val="ru-RU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Lohit Devanagari"/>
      <w:color w:val="auto"/>
      <w:kern w:val="2"/>
      <w:sz w:val="24"/>
      <w:szCs w:val="24"/>
      <w:lang w:val="ru-RU" w:eastAsia="zh-CN" w:bidi="hi-IN"/>
    </w:rPr>
  </w:style>
  <w:style w:type="paragraph" w:styleId="2">
    <w:name w:val="Heading 2"/>
    <w:basedOn w:val="Style14"/>
    <w:next w:val="Style15"/>
    <w:qFormat/>
    <w:pPr>
      <w:spacing w:before="200" w:after="120"/>
      <w:outlineLvl w:val="1"/>
    </w:pPr>
    <w:rPr>
      <w:rFonts w:ascii="Liberation Serif" w:hAnsi="Liberation Serif" w:eastAsia="Noto Sans CJK SC Regular" w:cs="Lohit Devanagari"/>
      <w:b/>
      <w:bCs/>
      <w:sz w:val="36"/>
      <w:szCs w:val="36"/>
    </w:rPr>
  </w:style>
  <w:style w:type="character" w:styleId="Style13">
    <w:name w:val="Выделение жирным"/>
    <w:qFormat/>
    <w:rPr>
      <w:b/>
      <w:bCs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49</TotalTime>
  <Application>LibreOffice/5.4.2.2$Linux_X86_64 LibreOffice_project/40m0$Build-2</Application>
  <Pages>2</Pages>
  <Words>439</Words>
  <Characters>3188</Characters>
  <CharactersWithSpaces>3609</CharactersWithSpaces>
  <Paragraphs>88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2018-01-16T16:13:46Z</dcterms:created>
  <dc:creator/>
  <dc:description/>
  <dc:language>ru-RU</dc:language>
  <cp:lastModifiedBy/>
  <dcterms:modified xsi:type="dcterms:W3CDTF">2018-01-16T17:03:05Z</dcterms:modified>
  <cp:revision>14</cp:revision>
  <dc:subject/>
  <dc:title/>
</cp:coreProperties>
</file>