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2"/>
          <w:rFonts w:ascii="Liberation Sans" w:hAnsi="Liberation Sans"/>
          <w:color w:val="1B75BC"/>
          <w:sz w:val="36"/>
          <w:szCs w:val="36"/>
        </w:rPr>
        <w:t>Заболевания эндокринной системы</w:t>
      </w:r>
    </w:p>
    <w:p>
      <w:pPr>
        <w:pStyle w:val="Style16"/>
        <w:jc w:val="left"/>
        <w:rPr/>
      </w:pPr>
      <w:r>
        <w:rPr>
          <w:rStyle w:val="Style12"/>
          <w:rFonts w:ascii="Liberation Sans" w:hAnsi="Liberation Sans"/>
          <w:color w:val="000000"/>
          <w:sz w:val="28"/>
          <w:szCs w:val="28"/>
        </w:rPr>
        <w:t>Показания к лечению: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инсулинонезависимый сахарный диабет;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сахарный диабет в состоянии компенсации (гликемия не выше 9-10 ммоль/л, отсутствие ацетона в моче);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нарушения обмена веществ. </w:t>
      </w:r>
    </w:p>
    <w:p>
      <w:pPr>
        <w:pStyle w:val="Style16"/>
        <w:rPr/>
      </w:pPr>
      <w:r>
        <w:rPr>
          <w:rStyle w:val="Style12"/>
        </w:rPr>
        <w:t>Медикаментозное  лечение</w:t>
      </w:r>
      <w:r>
        <w:rPr/>
        <w:t> назначается бесплатно при неотложных состояниях по назначению лечащего врача в соответствии с действующими нормативными документами МЗ РБ.</w:t>
      </w:r>
    </w:p>
    <w:p>
      <w:pPr>
        <w:pStyle w:val="Style16"/>
        <w:jc w:val="center"/>
        <w:rPr>
          <w:rStyle w:val="Style12"/>
          <w:rFonts w:ascii="Liberation Sans" w:hAnsi="Liberation Sans"/>
          <w:color w:val="1B75BC"/>
          <w:sz w:val="36"/>
          <w:szCs w:val="36"/>
        </w:rPr>
      </w:pPr>
      <w:r>
        <w:rPr>
          <w:rStyle w:val="Style12"/>
          <w:rFonts w:ascii="Liberation Sans" w:hAnsi="Liberation Sans"/>
          <w:color w:val="1B75BC"/>
          <w:sz w:val="36"/>
          <w:szCs w:val="36"/>
        </w:rPr>
        <w:t>Перечень диагностических и лечебно-оздоровительных услуг, входящих в стоимость путевки, предоставляемых пациентам с заболеваниями эндокринной системы (сахарный диабет) и нарушениями обмена веществ</w:t>
      </w:r>
    </w:p>
    <w:p>
      <w:pPr>
        <w:pStyle w:val="Style16"/>
        <w:jc w:val="left"/>
        <w:rPr>
          <w:rStyle w:val="Style12"/>
          <w:rFonts w:ascii="Liberation Sans" w:hAnsi="Liberation Sans"/>
          <w:color w:val="000000"/>
          <w:sz w:val="28"/>
          <w:szCs w:val="28"/>
        </w:rPr>
      </w:pPr>
      <w:r>
        <w:rPr/>
      </w:r>
    </w:p>
    <w:tbl>
      <w:tblPr>
        <w:tblW w:w="14570" w:type="dxa"/>
        <w:jc w:val="left"/>
        <w:tblInd w:w="0" w:type="dxa"/>
        <w:tblBorders>
          <w:top w:val="single" w:sz="6" w:space="0" w:color="8E8E8E"/>
          <w:left w:val="single" w:sz="6" w:space="0" w:color="8E8E8E"/>
          <w:bottom w:val="single" w:sz="2" w:space="0" w:color="8E8E8E"/>
          <w:insideH w:val="single" w:sz="2" w:space="0" w:color="8E8E8E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568"/>
        <w:gridCol w:w="6700"/>
        <w:gridCol w:w="855"/>
        <w:gridCol w:w="855"/>
        <w:gridCol w:w="855"/>
        <w:gridCol w:w="855"/>
        <w:gridCol w:w="855"/>
        <w:gridCol w:w="855"/>
        <w:gridCol w:w="855"/>
        <w:gridCol w:w="1317"/>
      </w:tblGrid>
      <w:tr>
        <w:trPr/>
        <w:tc>
          <w:tcPr>
            <w:tcW w:w="568" w:type="dxa"/>
            <w:tcBorders>
              <w:top w:val="single" w:sz="6" w:space="0" w:color="8E8E8E"/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1"/>
              <w:jc w:val="center"/>
              <w:rPr/>
            </w:pPr>
            <w:r>
              <w:rPr/>
              <w:t>№</w:t>
            </w:r>
          </w:p>
        </w:tc>
        <w:tc>
          <w:tcPr>
            <w:tcW w:w="6700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Услуги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7-9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10-11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12-13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 xml:space="preserve">  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14-15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16-17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дней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18-20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 </w:t>
            </w:r>
            <w:r>
              <w:rPr/>
              <w:t>день</w:t>
            </w:r>
          </w:p>
        </w:tc>
        <w:tc>
          <w:tcPr>
            <w:tcW w:w="855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21-24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/>
              <w:t>дня</w:t>
            </w:r>
          </w:p>
        </w:tc>
        <w:tc>
          <w:tcPr>
            <w:tcW w:w="1317" w:type="dxa"/>
            <w:tcBorders>
              <w:top w:val="single" w:sz="6" w:space="0" w:color="8E8E8E"/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1"/>
              <w:spacing w:before="0" w:after="283"/>
              <w:jc w:val="center"/>
              <w:rPr/>
            </w:pPr>
            <w:r>
              <w:rPr/>
              <w:t>25 и более дней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Осмотр врача (эндокринолог)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1-2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2-3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2-3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4-5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4-5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 </w:t>
            </w:r>
            <w:r>
              <w:rPr>
                <w:rStyle w:val="Style14"/>
              </w:rPr>
              <w:t>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Дозированная климатотерапия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Гелиотерапия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Аэротерапя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+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 xml:space="preserve">Лабораторные методы исследования (глюкоза крови) </w:t>
            </w:r>
            <w:r>
              <w:rPr/>
              <w:t>1 раз в неделю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III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Лечебная физкультура (в группе СД)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3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9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10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IV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Питьевое лечение минеральной водой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ежедн.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Бальнеолечение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Ванны лечебные (йодо-бромные, или хвойные, или минеральные) или сухая углекислая ванна - 1 вид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Вихревые ванны для рук или ног - по показаниям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Теплогрязелечение (один из видов) - по показаниям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Парафино-озокеритовые аппликации 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Тонкослойные грязевые аппликации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Лечебный массаж (один вид)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Ручной зональный массаж (1 процедура - 1,5 единицы)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2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Механический массаж на массажной кушетке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VIII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/>
              <w:t>Ингаляционная терапия (один из видов по показаниям)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ароматерапия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12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3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галотерапия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12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IX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Фитотерапия (не более одного вида сборов)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10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11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12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13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X</w:t>
            </w:r>
          </w:p>
        </w:tc>
        <w:tc>
          <w:tcPr>
            <w:tcW w:w="14002" w:type="dxa"/>
            <w:gridSpan w:val="9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>
                <w:rStyle w:val="Style14"/>
              </w:rPr>
              <w:t>Электросветолечение (не более двух видов процедур по назначению лечащего врача)</w:t>
            </w:r>
          </w:p>
        </w:tc>
      </w:tr>
      <w:tr>
        <w:trPr/>
        <w:tc>
          <w:tcPr>
            <w:tcW w:w="568" w:type="dxa"/>
            <w:vMerge w:val="restart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 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4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синусоидальные модулированные токи (СМТ) 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5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ультразвуковая терапия  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6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электрофорез лекарственных веществ  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7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диадинамические токи (ДДТ) 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8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магнитотерапия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9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лазеротерапия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10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дециметрововолновая терапия (ДМВ)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11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дарсонвализация местная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vMerge w:val="continue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numPr>
                <w:ilvl w:val="0"/>
                <w:numId w:val="12"/>
              </w:numPr>
              <w:tabs>
                <w:tab w:val="left" w:pos="0" w:leader="none"/>
              </w:tabs>
              <w:spacing w:before="0" w:after="283"/>
              <w:ind w:left="707" w:hanging="283"/>
              <w:rPr/>
            </w:pPr>
            <w:r>
              <w:rPr/>
              <w:t xml:space="preserve">крайневысокочастотная терапия (КВЧ)     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4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5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6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7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8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9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10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11</w:t>
            </w:r>
          </w:p>
        </w:tc>
      </w:tr>
      <w:tr>
        <w:trPr/>
        <w:tc>
          <w:tcPr>
            <w:tcW w:w="568" w:type="dxa"/>
            <w:tcBorders>
              <w:left w:val="single" w:sz="6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</w:rPr>
              <w:t>XI</w:t>
            </w:r>
          </w:p>
        </w:tc>
        <w:tc>
          <w:tcPr>
            <w:tcW w:w="6700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 </w:t>
            </w:r>
            <w:r>
              <w:rPr>
                <w:rStyle w:val="Style14"/>
              </w:rPr>
              <w:t>Диетотерапия (по показаниям)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Б,М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Б,М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Б,М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Б,М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Б,М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Б.М</w:t>
            </w:r>
          </w:p>
        </w:tc>
        <w:tc>
          <w:tcPr>
            <w:tcW w:w="855" w:type="dxa"/>
            <w:tcBorders>
              <w:left w:val="single" w:sz="2" w:space="0" w:color="8E8E8E"/>
              <w:bottom w:val="single" w:sz="2" w:space="0" w:color="8E8E8E"/>
              <w:insideH w:val="single" w:sz="2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Б,М</w:t>
            </w:r>
          </w:p>
        </w:tc>
        <w:tc>
          <w:tcPr>
            <w:tcW w:w="1317" w:type="dxa"/>
            <w:tcBorders>
              <w:left w:val="single" w:sz="2" w:space="0" w:color="8E8E8E"/>
              <w:bottom w:val="single" w:sz="2" w:space="0" w:color="8E8E8E"/>
              <w:right w:val="single" w:sz="6" w:space="0" w:color="8E8E8E"/>
              <w:insideH w:val="single" w:sz="2" w:space="0" w:color="8E8E8E"/>
              <w:insideV w:val="single" w:sz="6" w:space="0" w:color="8E8E8E"/>
            </w:tcBorders>
            <w:shd w:fill="auto" w:val="clear"/>
            <w:tcMar>
              <w:left w:w="7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Б,М</w:t>
            </w:r>
          </w:p>
        </w:tc>
      </w:tr>
      <w:tr>
        <w:trPr/>
        <w:tc>
          <w:tcPr>
            <w:tcW w:w="14570" w:type="dxa"/>
            <w:gridSpan w:val="10"/>
            <w:tcBorders>
              <w:left w:val="single" w:sz="6" w:space="0" w:color="8E8E8E"/>
              <w:bottom w:val="single" w:sz="6" w:space="0" w:color="8E8E8E"/>
              <w:right w:val="single" w:sz="6" w:space="0" w:color="8E8E8E"/>
              <w:insideH w:val="single" w:sz="6" w:space="0" w:color="8E8E8E"/>
              <w:insideV w:val="single" w:sz="6" w:space="0" w:color="8E8E8E"/>
            </w:tcBorders>
            <w:shd w:fill="auto" w:val="clear"/>
            <w:tcMar>
              <w:left w:w="67" w:type="dxa"/>
            </w:tcMar>
            <w:vAlign w:val="center"/>
          </w:tcPr>
          <w:p>
            <w:pPr>
              <w:pStyle w:val="Style20"/>
              <w:jc w:val="center"/>
              <w:rPr/>
            </w:pPr>
            <w:r>
              <w:rPr/>
              <w:t>Бассейн - 1 раз в неделю</w:t>
            </w:r>
          </w:p>
        </w:tc>
      </w:tr>
    </w:tbl>
    <w:p>
      <w:pPr>
        <w:pStyle w:val="Style16"/>
        <w:jc w:val="left"/>
        <w:rPr>
          <w:rStyle w:val="Style12"/>
        </w:rPr>
      </w:pPr>
      <w:r>
        <w:rPr/>
      </w:r>
    </w:p>
    <w:p>
      <w:pPr>
        <w:pStyle w:val="Style16"/>
        <w:jc w:val="left"/>
        <w:rPr/>
      </w:pPr>
      <w:r>
        <w:rPr>
          <w:rStyle w:val="Style12"/>
        </w:rPr>
        <w:t>Усилить эффект от проводимой терапии Вы можете следующими лечебно-оздоровительными процедурами, которые отпускаются за дополнительную плату:</w:t>
      </w:r>
    </w:p>
    <w:p>
      <w:pPr>
        <w:pStyle w:val="Style16"/>
        <w:rPr/>
      </w:pPr>
      <w:r>
        <w:rPr/>
        <w:t>1. Лечебные ванны: ванны с пантогематогеном «О-ПАНТО», скипидарные с «желтой» и «белой» эмульсией, ванны с мультиактивным экстрактом «Скипофит» («Мужской», «Женский», «Нормализация веса», «Движение»), с сакской солью и сероводородом, с сакской солью и селеном, бишофитные.</w:t>
      </w:r>
    </w:p>
    <w:p>
      <w:pPr>
        <w:pStyle w:val="Style16"/>
        <w:rPr/>
      </w:pPr>
      <w:r>
        <w:rPr/>
        <w:t>2. Ароматические ванны с сакской солью и экстрактами апельсина, лаванды, пальмарозы.</w:t>
      </w:r>
    </w:p>
    <w:p>
      <w:pPr>
        <w:pStyle w:val="Style16"/>
        <w:rPr/>
      </w:pPr>
      <w:r>
        <w:rPr/>
        <w:t>3. Гидромассаж пузырьковый.</w:t>
      </w:r>
    </w:p>
    <w:p>
      <w:pPr>
        <w:pStyle w:val="Style16"/>
        <w:rPr/>
      </w:pPr>
      <w:r>
        <w:rPr/>
        <w:t>4. Вихревые ванны для ног с горчицей и корой дуба.</w:t>
      </w:r>
    </w:p>
    <w:p>
      <w:pPr>
        <w:pStyle w:val="Style16"/>
        <w:rPr/>
      </w:pPr>
      <w:r>
        <w:rPr/>
        <w:t>5. Вихревые полуванны.</w:t>
      </w:r>
    </w:p>
    <w:p>
      <w:pPr>
        <w:pStyle w:val="Style16"/>
        <w:rPr/>
      </w:pPr>
      <w:r>
        <w:rPr/>
        <w:t>6. Массаж кистей рук, стоп в гидромассажной ванне «Акваролл».</w:t>
      </w:r>
    </w:p>
    <w:p>
      <w:pPr>
        <w:pStyle w:val="Style16"/>
        <w:rPr/>
      </w:pPr>
      <w:r>
        <w:rPr/>
        <w:t>7. Подводный душ-массаж в гидромассажной ванне «Акваделиция».</w:t>
      </w:r>
    </w:p>
    <w:p>
      <w:pPr>
        <w:pStyle w:val="Style16"/>
        <w:rPr/>
      </w:pPr>
      <w:r>
        <w:rPr/>
        <w:t>8. Интервальная вакуумная терапия на аппарате «Вакумед».</w:t>
      </w:r>
    </w:p>
    <w:p>
      <w:pPr>
        <w:pStyle w:val="Style16"/>
        <w:rPr/>
      </w:pPr>
      <w:r>
        <w:rPr/>
        <w:t>9. Пневмокомпрессионный массаж на аппарате «ЛИМФА-МАТ».</w:t>
      </w:r>
    </w:p>
    <w:p>
      <w:pPr>
        <w:pStyle w:val="Style16"/>
        <w:rPr/>
      </w:pPr>
      <w:r>
        <w:rPr/>
        <w:t>10. Воздушно-компрессионный массаж голеней и стоп на аппарае С-22В.</w:t>
      </w:r>
    </w:p>
    <w:p>
      <w:pPr>
        <w:pStyle w:val="Style16"/>
        <w:rPr/>
      </w:pPr>
      <w:r>
        <w:rPr/>
        <w:t>11. Лечение нарушений, связанных с расстройствами мужского здоровья: магнитофотобаротерапия на аппарате «АндроСПОК», магнитотерапия на аппарате «Проспок».</w:t>
      </w:r>
    </w:p>
    <w:p>
      <w:pPr>
        <w:pStyle w:val="Style16"/>
        <w:rPr/>
      </w:pPr>
      <w:r>
        <w:rPr/>
        <w:t>12. Обертывания суставов рук саморазогревающимися водорослями.</w:t>
      </w:r>
    </w:p>
    <w:p>
      <w:pPr>
        <w:pStyle w:val="Style16"/>
        <w:rPr/>
      </w:pPr>
      <w:r>
        <w:rPr/>
        <w:t>13. Ультразвуковая терапия на УЗТ-аппарате BTL с хондроитин сульфатом. </w:t>
      </w:r>
    </w:p>
    <w:p>
      <w:pPr>
        <w:pStyle w:val="Style16"/>
        <w:rPr/>
      </w:pPr>
      <w:r>
        <w:rPr/>
        <w:t>14. Гирудотерапия.</w:t>
      </w:r>
    </w:p>
    <w:p>
      <w:pPr>
        <w:pStyle w:val="Style16"/>
        <w:rPr/>
      </w:pPr>
      <w:r>
        <w:rPr/>
        <w:t>15. Фитопаросауна "Кедровая бочка".</w:t>
      </w:r>
    </w:p>
    <w:p>
      <w:pPr>
        <w:pStyle w:val="Style16"/>
        <w:rPr/>
      </w:pPr>
      <w:r>
        <w:rPr/>
        <w:t>16. Кислородный коктейль.</w:t>
      </w:r>
    </w:p>
    <w:p>
      <w:pPr>
        <w:pStyle w:val="Style16"/>
        <w:rPr/>
      </w:pPr>
      <w:r>
        <w:rPr/>
        <w:t>17. Комплексные лабораторно-диагностические исследования: «Диабет - не приговор»,  «Контроль здоровья», «Обследование печени, желудка и поджелудочной железы», «Здоровое сердце»,  «Липидный спектр»,  «Проблемы веса»,  маркеры онкологических заболеваний.</w:t>
      </w:r>
    </w:p>
    <w:p>
      <w:pPr>
        <w:pStyle w:val="Style16"/>
        <w:rPr/>
      </w:pPr>
      <w:r>
        <w:rPr/>
        <w:t>18. Терапевтическая стоматология, лечение болезней десен, шинирование подвижных зубов, фотодинамическая терапия.</w:t>
      </w:r>
    </w:p>
    <w:p>
      <w:pPr>
        <w:pStyle w:val="Style16"/>
        <w:rPr/>
      </w:pPr>
      <w:r>
        <w:rPr/>
        <w:t>19. Внутривенное, внутримышечное введение лекарственных средств.</w:t>
      </w:r>
    </w:p>
    <w:p>
      <w:pPr>
        <w:pStyle w:val="Style16"/>
        <w:jc w:val="left"/>
        <w:rPr/>
      </w:pPr>
      <w:r>
        <w:rPr/>
      </w:r>
    </w:p>
    <w:p>
      <w:pPr>
        <w:pStyle w:val="Style16"/>
        <w:jc w:val="center"/>
        <w:rPr/>
      </w:pPr>
      <w:r>
        <w:rPr/>
      </w:r>
    </w:p>
    <w:p>
      <w:pPr>
        <w:pStyle w:val="Style16"/>
        <w:spacing w:before="0" w:after="140"/>
        <w:jc w:val="left"/>
        <w:rPr>
          <w:rStyle w:val="Style12"/>
          <w:rFonts w:ascii="Liberation Sans" w:hAnsi="Liberation Sans"/>
          <w:color w:val="00000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LibreOffice/5.4.2.2$Linux_X86_64 LibreOffice_project/40m0$Build-2</Application>
  <Pages>4</Pages>
  <Words>641</Words>
  <Characters>3418</Characters>
  <CharactersWithSpaces>3818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2018-01-16T12:42:58Z</dcterms:created>
  <dc:creator/>
  <dc:description/>
  <dc:language>ru-RU</dc:language>
  <cp:lastModifiedBy/>
  <dcterms:modified xsi:type="dcterms:W3CDTF">2018-01-16T13:20:42Z</dcterms:modified>
  <cp:revision>9</cp:revision>
  <dc:subject/>
  <dc:title/>
</cp:coreProperties>
</file>