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rStyle w:val="Style13"/>
          <w:rFonts w:ascii="Liberation Sans" w:hAnsi="Liberation Sans"/>
          <w:color w:val="00508F"/>
          <w:sz w:val="36"/>
          <w:szCs w:val="36"/>
        </w:rPr>
        <w:t xml:space="preserve">Оздоровительная программа «Антистресс» </w:t>
      </w:r>
    </w:p>
    <w:p>
      <w:pPr>
        <w:pStyle w:val="Normal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Продолжительность: </w:t>
      </w:r>
      <w:r>
        <w:rPr>
          <w:rFonts w:ascii="Liberation Sans" w:hAnsi="Liberation Sans"/>
          <w:sz w:val="28"/>
          <w:szCs w:val="28"/>
        </w:rPr>
        <w:t>от 2-х до 5-ти дней</w:t>
      </w:r>
    </w:p>
    <w:p>
      <w:pPr>
        <w:pStyle w:val="Style16"/>
        <w:rPr/>
      </w:pPr>
      <w:r>
        <w:rPr>
          <w:rStyle w:val="Style13"/>
          <w:rFonts w:ascii="Liberation Sans" w:hAnsi="Liberation Sans"/>
          <w:sz w:val="28"/>
          <w:szCs w:val="28"/>
        </w:rPr>
        <w:t xml:space="preserve">Показания: </w:t>
      </w:r>
      <w:r>
        <w:rPr>
          <w:rFonts w:ascii="Liberation Sans" w:hAnsi="Liberation Sans"/>
          <w:sz w:val="28"/>
          <w:szCs w:val="28"/>
        </w:rPr>
        <w:t>синдром хронической усталости, дисфункция вегетативной нервной системы.</w:t>
        <w:br/>
      </w:r>
      <w:r>
        <w:rPr>
          <w:rStyle w:val="Style13"/>
          <w:rFonts w:ascii="Liberation Sans" w:hAnsi="Liberation Sans"/>
          <w:sz w:val="28"/>
          <w:szCs w:val="28"/>
        </w:rPr>
        <w:t xml:space="preserve">Противопоказания и ограничения: </w:t>
      </w:r>
      <w:r>
        <w:rPr>
          <w:rFonts w:ascii="Liberation Sans" w:hAnsi="Liberation Sans"/>
          <w:sz w:val="28"/>
          <w:szCs w:val="28"/>
        </w:rPr>
        <w:t>противопоказания общие для санаторно-курортного лечения, определяются врачом-терапевтом.</w:t>
      </w:r>
    </w:p>
    <w:p>
      <w:pPr>
        <w:pStyle w:val="Style16"/>
        <w:rPr>
          <w:rFonts w:ascii="Liberation Sans" w:hAnsi="Liberation Sans"/>
          <w:sz w:val="28"/>
          <w:szCs w:val="28"/>
        </w:rPr>
      </w:pPr>
      <w:r>
        <w:rPr>
          <w:rStyle w:val="Style13"/>
          <w:rFonts w:ascii="Liberation Sans" w:hAnsi="Liberation Sans"/>
          <w:sz w:val="28"/>
          <w:szCs w:val="28"/>
        </w:rPr>
        <w:t>Ожидаемый эффект: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Улучшение общего самочувствия и настроения;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Повышение жизненного тонуса и работоспособности;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Увеличение толерантности к физическим и психоэмоциональным нагрузкам;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Стабилизация гемодинамических показателей, нормализация артериального давления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Нормализация сна;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жизни. </w:t>
      </w:r>
    </w:p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tbl>
      <w:tblPr>
        <w:tblW w:w="850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846"/>
        <w:gridCol w:w="5022"/>
        <w:gridCol w:w="772"/>
        <w:gridCol w:w="967"/>
        <w:gridCol w:w="898"/>
      </w:tblGrid>
      <w:tr>
        <w:trPr/>
        <w:tc>
          <w:tcPr>
            <w:tcW w:w="84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№ </w:t>
            </w:r>
            <w:r>
              <w:rPr>
                <w:rStyle w:val="Style13"/>
              </w:rPr>
              <w:t xml:space="preserve">п/п </w:t>
            </w:r>
          </w:p>
        </w:tc>
        <w:tc>
          <w:tcPr>
            <w:tcW w:w="502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Перечень процедур </w:t>
            </w:r>
          </w:p>
        </w:tc>
        <w:tc>
          <w:tcPr>
            <w:tcW w:w="2637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Количество процедур </w:t>
            </w:r>
          </w:p>
        </w:tc>
      </w:tr>
      <w:tr>
        <w:trPr/>
        <w:tc>
          <w:tcPr>
            <w:tcW w:w="846" w:type="dxa"/>
            <w:vMerge w:val="continue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2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22" w:type="dxa"/>
            <w:vMerge w:val="continue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2 дня 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3-4 дня 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BCE4E5" w:val="clear"/>
            <w:tcMar>
              <w:left w:w="59" w:type="dxa"/>
            </w:tcMar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Style w:val="Style13"/>
              </w:rPr>
              <w:t xml:space="preserve">5 дней 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2" w:type="dxa"/>
            </w:tcMar>
          </w:tcPr>
          <w:p>
            <w:pPr>
              <w:pStyle w:val="Style20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Предварительная консультация врача-терапевта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Посещение бассейна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2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Минерально-жемчужная ванна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2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Лампа «Биоптрон» на область лица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84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8CCFB7" w:val="clear"/>
            <w:tcMar>
              <w:left w:w="52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502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 xml:space="preserve">Вибромассаж на кушетке « </w:t>
            </w:r>
            <w:r>
              <w:rPr>
                <w:lang w:val="en-US"/>
              </w:rPr>
              <w:t xml:space="preserve">NUGA BEST » </w:t>
            </w:r>
          </w:p>
        </w:tc>
        <w:tc>
          <w:tcPr>
            <w:tcW w:w="77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96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3-4</w:t>
            </w:r>
          </w:p>
        </w:tc>
        <w:tc>
          <w:tcPr>
            <w:tcW w:w="8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8CCFB7" w:val="clear"/>
            <w:tcMar>
              <w:left w:w="59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LibreOffice/5.4.2.2$Linux_X86_64 LibreOffice_project/40m0$Build-2</Application>
  <Pages>1</Pages>
  <Words>114</Words>
  <Characters>756</Characters>
  <CharactersWithSpaces>837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2018-01-16T12:27:14Z</dcterms:created>
  <dc:creator/>
  <dc:description/>
  <dc:language>ru-RU</dc:language>
  <cp:lastModifiedBy/>
  <dcterms:modified xsi:type="dcterms:W3CDTF">2018-01-16T12:34:25Z</dcterms:modified>
  <cp:revision>1</cp:revision>
  <dc:subject/>
  <dc:title/>
</cp:coreProperties>
</file>